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67" w:rsidRDefault="007A37E9">
      <w:pPr>
        <w:rPr>
          <w:rFonts w:ascii="Times New Roman" w:hAnsi="Times New Roman" w:cs="Times New Roman"/>
          <w:b/>
          <w:sz w:val="24"/>
          <w:szCs w:val="24"/>
        </w:rPr>
      </w:pPr>
      <w:r w:rsidRPr="007A37E9">
        <w:rPr>
          <w:rFonts w:ascii="Times New Roman" w:hAnsi="Times New Roman" w:cs="Times New Roman"/>
          <w:b/>
          <w:sz w:val="24"/>
          <w:szCs w:val="24"/>
        </w:rPr>
        <w:t>PARECER JURÍDICO Nº 0</w:t>
      </w:r>
      <w:r w:rsidR="0042444A">
        <w:rPr>
          <w:rFonts w:ascii="Times New Roman" w:hAnsi="Times New Roman" w:cs="Times New Roman"/>
          <w:b/>
          <w:sz w:val="24"/>
          <w:szCs w:val="24"/>
        </w:rPr>
        <w:t>9</w:t>
      </w:r>
    </w:p>
    <w:p w:rsidR="007A37E9" w:rsidRDefault="007A37E9">
      <w:pPr>
        <w:rPr>
          <w:rFonts w:ascii="Times New Roman" w:hAnsi="Times New Roman" w:cs="Times New Roman"/>
          <w:b/>
          <w:sz w:val="24"/>
          <w:szCs w:val="24"/>
        </w:rPr>
      </w:pPr>
    </w:p>
    <w:p w:rsidR="007A37E9" w:rsidRPr="00D51B49" w:rsidRDefault="007A37E9" w:rsidP="00A8410A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B49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2C61DD" w:rsidRPr="00D51B49">
        <w:rPr>
          <w:rFonts w:ascii="Times New Roman" w:hAnsi="Times New Roman" w:cs="Times New Roman"/>
          <w:b/>
          <w:sz w:val="24"/>
          <w:szCs w:val="24"/>
        </w:rPr>
        <w:t xml:space="preserve">nº 37/2020. MODALIDADE TOMADA DE PREÇOS Nº 03/2020. RESTAURAÇÃO DA CASA DA MEMÓRIA – ETAPA 01. CONDIÇÕES DO CERTAME EXPRESSAS NO EDITAL. PRINCÍPIO DA VINCULAÇÃO. EMPRESA DESCLASSIFICADA POR NÃO ATENDER AS </w:t>
      </w:r>
      <w:r w:rsidR="00D51B49">
        <w:rPr>
          <w:rFonts w:ascii="Times New Roman" w:hAnsi="Times New Roman" w:cs="Times New Roman"/>
          <w:b/>
          <w:sz w:val="24"/>
          <w:szCs w:val="24"/>
        </w:rPr>
        <w:t>PREVISÕES</w:t>
      </w:r>
      <w:r w:rsidR="002C61DD" w:rsidRPr="00D51B49">
        <w:rPr>
          <w:rFonts w:ascii="Times New Roman" w:hAnsi="Times New Roman" w:cs="Times New Roman"/>
          <w:b/>
          <w:sz w:val="24"/>
          <w:szCs w:val="24"/>
        </w:rPr>
        <w:t xml:space="preserve"> EDITALÍCIAS. DEVER DE CAUTELA DA COMISSÃO. TESE RECURSAL QUE NÃO MERECE ACOLHIMENTO.</w:t>
      </w:r>
      <w:r w:rsidR="00D51B49">
        <w:rPr>
          <w:rFonts w:ascii="Times New Roman" w:hAnsi="Times New Roman" w:cs="Times New Roman"/>
          <w:b/>
          <w:sz w:val="24"/>
          <w:szCs w:val="24"/>
        </w:rPr>
        <w:t xml:space="preserve"> DESCLASSIFICAÇÃO A SER MANTIDA.</w:t>
      </w:r>
    </w:p>
    <w:p w:rsidR="00A8410A" w:rsidRDefault="00A8410A" w:rsidP="007A37E9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8410A" w:rsidRDefault="00A8410A" w:rsidP="007A37E9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3E6DE3" w:rsidRDefault="00D51B49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município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Batista,</w:t>
      </w:r>
      <w:r w:rsidR="003E6DE3">
        <w:rPr>
          <w:rFonts w:ascii="Times New Roman" w:hAnsi="Times New Roman" w:cs="Times New Roman"/>
          <w:sz w:val="24"/>
          <w:szCs w:val="24"/>
        </w:rPr>
        <w:t xml:space="preserve"> através do Processo Licitatório nº 037/2020, Tomada de Preços nº 03/2020, deflagrou abertura </w:t>
      </w:r>
      <w:r w:rsidR="00D21E0F">
        <w:rPr>
          <w:rFonts w:ascii="Times New Roman" w:hAnsi="Times New Roman" w:cs="Times New Roman"/>
          <w:sz w:val="24"/>
          <w:szCs w:val="24"/>
        </w:rPr>
        <w:t xml:space="preserve">de </w:t>
      </w:r>
      <w:r w:rsidR="003E6DE3">
        <w:rPr>
          <w:rFonts w:ascii="Times New Roman" w:hAnsi="Times New Roman" w:cs="Times New Roman"/>
          <w:sz w:val="24"/>
          <w:szCs w:val="24"/>
        </w:rPr>
        <w:t>certame visando a contratação de empresa para a Restauração da Casa da Memória – Etapa 01.</w:t>
      </w:r>
      <w:r w:rsidR="00BE7972">
        <w:rPr>
          <w:rFonts w:ascii="Times New Roman" w:hAnsi="Times New Roman" w:cs="Times New Roman"/>
          <w:sz w:val="24"/>
          <w:szCs w:val="24"/>
        </w:rPr>
        <w:t xml:space="preserve"> Cuja obra é conveniada com a Caixa Econômica Federal.</w:t>
      </w:r>
    </w:p>
    <w:p w:rsidR="007850B7" w:rsidRDefault="003E6DE3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Edital foi devidamente publicado, permitindo que os interessados realizassem o credenciamento, </w:t>
      </w:r>
      <w:r w:rsidR="00BE7972">
        <w:rPr>
          <w:rFonts w:ascii="Times New Roman" w:hAnsi="Times New Roman" w:cs="Times New Roman"/>
          <w:sz w:val="24"/>
          <w:szCs w:val="24"/>
        </w:rPr>
        <w:t xml:space="preserve">fizessem </w:t>
      </w:r>
      <w:r w:rsidR="007850B7">
        <w:rPr>
          <w:rFonts w:ascii="Times New Roman" w:hAnsi="Times New Roman" w:cs="Times New Roman"/>
          <w:sz w:val="24"/>
          <w:szCs w:val="24"/>
        </w:rPr>
        <w:t>visita técnica, bem como tivessem acesso a todos os anexos integrantes do Edital.</w:t>
      </w:r>
    </w:p>
    <w:p w:rsidR="007850B7" w:rsidRDefault="007850B7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que norteia todo o certame, a ele se vinculando não apenas a Administração Pública que busca a contratação do serviço, como também os interessados.</w:t>
      </w:r>
    </w:p>
    <w:p w:rsidR="00BE7972" w:rsidRDefault="00BE7972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Vencidas as atas de credenciamento, habilitação, visita técnica, passou-se a abertura da documentação, consoante ata de recebimento e abertura de documentaç</w:t>
      </w:r>
      <w:r w:rsidR="00D21E0F">
        <w:rPr>
          <w:rFonts w:ascii="Times New Roman" w:hAnsi="Times New Roman" w:cs="Times New Roman"/>
          <w:sz w:val="24"/>
          <w:szCs w:val="24"/>
        </w:rPr>
        <w:t>ão nº 10/2020, onde a Comissão Permanente de L</w:t>
      </w:r>
      <w:r>
        <w:rPr>
          <w:rFonts w:ascii="Times New Roman" w:hAnsi="Times New Roman" w:cs="Times New Roman"/>
          <w:sz w:val="24"/>
          <w:szCs w:val="24"/>
        </w:rPr>
        <w:t>icitação abriu e rubricou o envelope de habilitação e documentos apresentados pela única participante</w:t>
      </w:r>
      <w:r w:rsidR="00B120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empresa Base-V Engenharia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Ltda</w:t>
      </w:r>
      <w:proofErr w:type="spellEnd"/>
      <w:r>
        <w:rPr>
          <w:rFonts w:ascii="Times New Roman" w:hAnsi="Times New Roman" w:cs="Times New Roman"/>
          <w:sz w:val="24"/>
          <w:szCs w:val="24"/>
        </w:rPr>
        <w:t>, estando estes de acordo com as cláusulas editalícias.</w:t>
      </w:r>
    </w:p>
    <w:p w:rsidR="00BE7972" w:rsidRDefault="00BE7972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seguir a Comissão Permanente de Licitação passou a análise da proposta apresentada pela empresa credenciada e dos documentos de acordo com as previsões editalícias.</w:t>
      </w:r>
    </w:p>
    <w:p w:rsidR="00BE7972" w:rsidRDefault="00BE7972" w:rsidP="00BE7972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Cujo parecer foi: </w:t>
      </w:r>
    </w:p>
    <w:p w:rsidR="00BE7972" w:rsidRPr="00BE7972" w:rsidRDefault="00BE7972" w:rsidP="00BE7972">
      <w:pPr>
        <w:spacing w:line="360" w:lineRule="auto"/>
        <w:ind w:left="2268"/>
        <w:jc w:val="both"/>
        <w:rPr>
          <w:rFonts w:ascii="Times New Roman" w:hAnsi="Times New Roman" w:cs="Times New Roman"/>
          <w:i/>
        </w:rPr>
      </w:pPr>
      <w:r w:rsidRPr="00BE7972">
        <w:rPr>
          <w:rFonts w:ascii="Times New Roman" w:hAnsi="Times New Roman" w:cs="Times New Roman"/>
          <w:i/>
        </w:rPr>
        <w:lastRenderedPageBreak/>
        <w:t xml:space="preserve">No que tange a proposta apresentada pela empresa Base-V Engenharia </w:t>
      </w:r>
      <w:proofErr w:type="spellStart"/>
      <w:r w:rsidRPr="00BE7972">
        <w:rPr>
          <w:rFonts w:ascii="Times New Roman" w:hAnsi="Times New Roman" w:cs="Times New Roman"/>
          <w:i/>
        </w:rPr>
        <w:t>Ltda</w:t>
      </w:r>
      <w:proofErr w:type="spellEnd"/>
      <w:r w:rsidRPr="00BE7972">
        <w:rPr>
          <w:rFonts w:ascii="Times New Roman" w:hAnsi="Times New Roman" w:cs="Times New Roman"/>
          <w:i/>
        </w:rPr>
        <w:t xml:space="preserve"> a mesma foi desclassificada por não apresentar garantia de proposta conforme item 8 do Edital.</w:t>
      </w:r>
    </w:p>
    <w:p w:rsidR="00BE7972" w:rsidRDefault="00BE7972" w:rsidP="00BE7972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fato, do art. 8º se extrai:</w:t>
      </w:r>
    </w:p>
    <w:p w:rsidR="003F15C0" w:rsidRPr="003F15C0" w:rsidRDefault="003F15C0" w:rsidP="003F15C0">
      <w:pPr>
        <w:tabs>
          <w:tab w:val="left" w:pos="0"/>
          <w:tab w:val="left" w:pos="2268"/>
        </w:tabs>
        <w:spacing w:line="228" w:lineRule="auto"/>
        <w:ind w:left="2268" w:right="240"/>
        <w:jc w:val="both"/>
        <w:rPr>
          <w:rFonts w:ascii="Times New Roman" w:hAnsi="Times New Roman" w:cs="Times New Roman"/>
        </w:rPr>
      </w:pPr>
      <w:r w:rsidRPr="003F15C0">
        <w:rPr>
          <w:rFonts w:ascii="Times New Roman" w:hAnsi="Times New Roman" w:cs="Times New Roman"/>
        </w:rPr>
        <w:t xml:space="preserve">8.1 – </w:t>
      </w:r>
      <w:r w:rsidRPr="00B12018">
        <w:rPr>
          <w:rFonts w:ascii="Times New Roman" w:hAnsi="Times New Roman" w:cs="Times New Roman"/>
          <w:u w:val="single"/>
        </w:rPr>
        <w:t>Para participar da licitação, a proponente deverá depositar como garantia de manutenção da proposta a importância de R$ 1% do valor do objeto</w:t>
      </w:r>
      <w:r w:rsidRPr="003F15C0">
        <w:rPr>
          <w:rFonts w:ascii="Times New Roman" w:hAnsi="Times New Roman" w:cs="Times New Roman"/>
        </w:rPr>
        <w:t>.</w:t>
      </w:r>
    </w:p>
    <w:p w:rsidR="003F15C0" w:rsidRPr="003F15C0" w:rsidRDefault="003F15C0" w:rsidP="003F15C0">
      <w:pPr>
        <w:tabs>
          <w:tab w:val="left" w:pos="0"/>
        </w:tabs>
        <w:spacing w:line="242" w:lineRule="exact"/>
        <w:ind w:left="-142"/>
        <w:rPr>
          <w:rFonts w:ascii="Times New Roman" w:hAnsi="Times New Roman" w:cs="Times New Roman"/>
        </w:rPr>
      </w:pPr>
    </w:p>
    <w:p w:rsidR="003F15C0" w:rsidRPr="003F15C0" w:rsidRDefault="003F15C0" w:rsidP="003F15C0">
      <w:pPr>
        <w:tabs>
          <w:tab w:val="left" w:pos="0"/>
        </w:tabs>
        <w:spacing w:line="228" w:lineRule="auto"/>
        <w:ind w:left="2268" w:right="240"/>
        <w:jc w:val="both"/>
        <w:rPr>
          <w:rFonts w:ascii="Times New Roman" w:hAnsi="Times New Roman" w:cs="Times New Roman"/>
        </w:rPr>
      </w:pPr>
      <w:r w:rsidRPr="003F15C0">
        <w:rPr>
          <w:rFonts w:ascii="Times New Roman" w:hAnsi="Times New Roman" w:cs="Times New Roman"/>
        </w:rPr>
        <w:t>8.2 – O recolhimento da garantia de manutenção da proposta obedecerá ao contido na Legislação em vigor.</w:t>
      </w:r>
    </w:p>
    <w:p w:rsidR="003F15C0" w:rsidRPr="003F15C0" w:rsidRDefault="003F15C0" w:rsidP="003F15C0">
      <w:pPr>
        <w:tabs>
          <w:tab w:val="left" w:pos="0"/>
        </w:tabs>
        <w:spacing w:line="20" w:lineRule="exact"/>
        <w:ind w:left="-142"/>
        <w:rPr>
          <w:rFonts w:ascii="Times New Roman" w:hAnsi="Times New Roman" w:cs="Times New Roman"/>
        </w:rPr>
      </w:pPr>
    </w:p>
    <w:p w:rsidR="003F15C0" w:rsidRPr="003F15C0" w:rsidRDefault="003F15C0" w:rsidP="003F15C0">
      <w:pPr>
        <w:tabs>
          <w:tab w:val="left" w:pos="0"/>
        </w:tabs>
        <w:spacing w:line="240" w:lineRule="atLeast"/>
        <w:ind w:left="-142" w:firstLine="2410"/>
        <w:rPr>
          <w:rFonts w:ascii="Times New Roman" w:hAnsi="Times New Roman" w:cs="Times New Roman"/>
        </w:rPr>
      </w:pPr>
      <w:bookmarkStart w:id="0" w:name="page9"/>
      <w:bookmarkEnd w:id="0"/>
      <w:r w:rsidRPr="003F15C0">
        <w:rPr>
          <w:rFonts w:ascii="Times New Roman" w:hAnsi="Times New Roman" w:cs="Times New Roman"/>
        </w:rPr>
        <w:t>8.3 – A garantia de manutenção poderá ser efetuada mediante:</w:t>
      </w:r>
    </w:p>
    <w:p w:rsidR="003F15C0" w:rsidRPr="003F15C0" w:rsidRDefault="003F15C0" w:rsidP="003F15C0">
      <w:pPr>
        <w:tabs>
          <w:tab w:val="left" w:pos="0"/>
        </w:tabs>
        <w:spacing w:line="240" w:lineRule="atLeast"/>
        <w:ind w:left="-142"/>
        <w:rPr>
          <w:rFonts w:ascii="Times New Roman" w:hAnsi="Times New Roman" w:cs="Times New Roman"/>
        </w:rPr>
      </w:pPr>
    </w:p>
    <w:p w:rsidR="003F15C0" w:rsidRPr="003F15C0" w:rsidRDefault="003F15C0" w:rsidP="003F15C0">
      <w:pPr>
        <w:tabs>
          <w:tab w:val="left" w:pos="0"/>
        </w:tabs>
        <w:spacing w:line="240" w:lineRule="atLeast"/>
        <w:ind w:left="2268"/>
        <w:rPr>
          <w:rFonts w:ascii="Times New Roman" w:hAnsi="Times New Roman" w:cs="Times New Roman"/>
        </w:rPr>
      </w:pPr>
      <w:r w:rsidRPr="003F15C0">
        <w:rPr>
          <w:rFonts w:ascii="Times New Roman" w:hAnsi="Times New Roman" w:cs="Times New Roman"/>
        </w:rPr>
        <w:t>8.3.1 – Depósito em espécie, cheque visado ou bancário, nominativo ao licitador.</w:t>
      </w:r>
    </w:p>
    <w:p w:rsidR="003F15C0" w:rsidRPr="003F15C0" w:rsidRDefault="003F15C0" w:rsidP="003F15C0">
      <w:pPr>
        <w:tabs>
          <w:tab w:val="left" w:pos="0"/>
        </w:tabs>
        <w:spacing w:line="241" w:lineRule="exact"/>
        <w:ind w:left="-142"/>
        <w:rPr>
          <w:rFonts w:ascii="Times New Roman" w:hAnsi="Times New Roman" w:cs="Times New Roman"/>
        </w:rPr>
      </w:pPr>
    </w:p>
    <w:p w:rsidR="003F15C0" w:rsidRPr="003F15C0" w:rsidRDefault="003F15C0" w:rsidP="003F15C0">
      <w:pPr>
        <w:tabs>
          <w:tab w:val="left" w:pos="0"/>
        </w:tabs>
        <w:spacing w:line="228" w:lineRule="auto"/>
        <w:ind w:left="2268" w:right="220"/>
        <w:jc w:val="both"/>
        <w:rPr>
          <w:rFonts w:ascii="Times New Roman" w:hAnsi="Times New Roman" w:cs="Times New Roman"/>
        </w:rPr>
      </w:pPr>
      <w:r w:rsidRPr="003F15C0">
        <w:rPr>
          <w:rFonts w:ascii="Times New Roman" w:hAnsi="Times New Roman" w:cs="Times New Roman"/>
        </w:rPr>
        <w:t>8.3.2 – Carta de fiança bancária, sendo obrigatório que o prazo de validade da mesma seja, no mínimo, igual a 90(noventa) dias a partir da data limite estabelecida para o recebimento das propostas pela Comissão de Licitação, incluindo a renúncia ao benefício de ordem;</w:t>
      </w:r>
    </w:p>
    <w:p w:rsidR="003F15C0" w:rsidRPr="003F15C0" w:rsidRDefault="003F15C0" w:rsidP="003F15C0">
      <w:pPr>
        <w:tabs>
          <w:tab w:val="left" w:pos="0"/>
        </w:tabs>
        <w:spacing w:line="241" w:lineRule="exact"/>
        <w:ind w:left="-142"/>
        <w:rPr>
          <w:rFonts w:ascii="Times New Roman" w:hAnsi="Times New Roman" w:cs="Times New Roman"/>
        </w:rPr>
      </w:pPr>
    </w:p>
    <w:p w:rsidR="003F15C0" w:rsidRPr="003F15C0" w:rsidRDefault="003F15C0" w:rsidP="003F15C0">
      <w:pPr>
        <w:tabs>
          <w:tab w:val="left" w:pos="0"/>
        </w:tabs>
        <w:spacing w:line="228" w:lineRule="auto"/>
        <w:ind w:left="2268" w:right="220"/>
        <w:jc w:val="both"/>
        <w:rPr>
          <w:rFonts w:ascii="Times New Roman" w:hAnsi="Times New Roman" w:cs="Times New Roman"/>
        </w:rPr>
      </w:pPr>
      <w:r w:rsidRPr="003F15C0">
        <w:rPr>
          <w:rFonts w:ascii="Times New Roman" w:hAnsi="Times New Roman" w:cs="Times New Roman"/>
        </w:rPr>
        <w:t>8.3.2.1 – A carta de fiança bancária deverá garantir a manutenção da documentação do invólucro “A” – habilitação preliminar e invólucro “B” – proposta, até a data da adjudicação.</w:t>
      </w:r>
    </w:p>
    <w:p w:rsidR="003F15C0" w:rsidRPr="003F15C0" w:rsidRDefault="003F15C0" w:rsidP="003F15C0">
      <w:pPr>
        <w:tabs>
          <w:tab w:val="left" w:pos="0"/>
        </w:tabs>
        <w:spacing w:line="241" w:lineRule="exact"/>
        <w:ind w:left="-142"/>
        <w:rPr>
          <w:rFonts w:ascii="Times New Roman" w:hAnsi="Times New Roman" w:cs="Times New Roman"/>
        </w:rPr>
      </w:pPr>
    </w:p>
    <w:p w:rsidR="003F15C0" w:rsidRPr="003F15C0" w:rsidRDefault="003F15C0" w:rsidP="003F15C0">
      <w:pPr>
        <w:tabs>
          <w:tab w:val="left" w:pos="0"/>
        </w:tabs>
        <w:spacing w:line="228" w:lineRule="auto"/>
        <w:ind w:left="2268" w:right="240"/>
        <w:jc w:val="both"/>
        <w:rPr>
          <w:rFonts w:ascii="Times New Roman" w:hAnsi="Times New Roman" w:cs="Times New Roman"/>
        </w:rPr>
      </w:pPr>
      <w:r w:rsidRPr="003F15C0">
        <w:rPr>
          <w:rFonts w:ascii="Times New Roman" w:hAnsi="Times New Roman" w:cs="Times New Roman"/>
        </w:rPr>
        <w:t>8.3.3 – Seguro-garantia de manutenção em apólice nominal ao Licitador e emitido por seguradora brasileira ou autorizada a funcionar no Brasil, sendo obrigatório que o prazo de validade seja, no mínimo, igual a 90(noventa) dias, a partir da data limite estabelecida para o recebimento das propostas pela Comissão de Licitação.</w:t>
      </w:r>
    </w:p>
    <w:p w:rsidR="003F15C0" w:rsidRPr="003F15C0" w:rsidRDefault="003F15C0" w:rsidP="003F15C0">
      <w:pPr>
        <w:tabs>
          <w:tab w:val="left" w:pos="0"/>
        </w:tabs>
        <w:spacing w:line="242" w:lineRule="exact"/>
        <w:ind w:left="-142"/>
        <w:rPr>
          <w:rFonts w:ascii="Times New Roman" w:hAnsi="Times New Roman" w:cs="Times New Roman"/>
        </w:rPr>
      </w:pPr>
    </w:p>
    <w:p w:rsidR="003F15C0" w:rsidRPr="003F15C0" w:rsidRDefault="003F15C0" w:rsidP="003F15C0">
      <w:pPr>
        <w:tabs>
          <w:tab w:val="left" w:pos="0"/>
        </w:tabs>
        <w:spacing w:line="228" w:lineRule="auto"/>
        <w:ind w:left="2268" w:right="220"/>
        <w:jc w:val="both"/>
        <w:rPr>
          <w:rFonts w:ascii="Times New Roman" w:hAnsi="Times New Roman" w:cs="Times New Roman"/>
        </w:rPr>
      </w:pPr>
      <w:r w:rsidRPr="003F15C0">
        <w:rPr>
          <w:rFonts w:ascii="Times New Roman" w:hAnsi="Times New Roman" w:cs="Times New Roman"/>
        </w:rPr>
        <w:t>8.3.3.1 – O seguro-garantia de manutenção deverá garantir a manutenção da documentação do invólucro “A” – habilitação preliminar e invólucro “B” –proposta, até a data da adjudicação.</w:t>
      </w:r>
    </w:p>
    <w:p w:rsidR="003F15C0" w:rsidRPr="003F15C0" w:rsidRDefault="003F15C0" w:rsidP="003F15C0">
      <w:pPr>
        <w:tabs>
          <w:tab w:val="left" w:pos="0"/>
        </w:tabs>
        <w:spacing w:line="243" w:lineRule="exact"/>
        <w:ind w:left="-142"/>
        <w:rPr>
          <w:rFonts w:ascii="Times New Roman" w:hAnsi="Times New Roman" w:cs="Times New Roman"/>
        </w:rPr>
      </w:pPr>
    </w:p>
    <w:p w:rsidR="003F15C0" w:rsidRPr="003F15C0" w:rsidRDefault="003F15C0" w:rsidP="003F15C0">
      <w:pPr>
        <w:tabs>
          <w:tab w:val="left" w:pos="0"/>
        </w:tabs>
        <w:spacing w:line="230" w:lineRule="auto"/>
        <w:ind w:left="2268" w:right="220"/>
        <w:jc w:val="both"/>
        <w:rPr>
          <w:rFonts w:ascii="Times New Roman" w:hAnsi="Times New Roman" w:cs="Times New Roman"/>
        </w:rPr>
      </w:pPr>
      <w:r w:rsidRPr="003F15C0">
        <w:rPr>
          <w:rFonts w:ascii="Times New Roman" w:hAnsi="Times New Roman" w:cs="Times New Roman"/>
        </w:rPr>
        <w:t xml:space="preserve">8.4 – A garantia de manutenção da proposta oferecida pelo Adjudicatário, ser-lhe-á devolvida quando o termo de contrato de empreitada for firmado e a garantia de execução for aceita. A garantia de manutenção de proposta das proponentes classificadas em segundo e terceiro lugar serão devolvidas, mediante solicitação expressa da proponente, dentro de trinta dias seguintes à celebração do termo de contrato com a proponente vencedora. A garantia de manutenção da proposta das demais proponentes será devolvida, </w:t>
      </w:r>
      <w:r w:rsidRPr="003F15C0">
        <w:rPr>
          <w:rFonts w:ascii="Times New Roman" w:hAnsi="Times New Roman" w:cs="Times New Roman"/>
        </w:rPr>
        <w:lastRenderedPageBreak/>
        <w:t>mediante solicitação expressa das proponentes, dentro dos cinco dias seguintes à data de adjudicação.</w:t>
      </w:r>
    </w:p>
    <w:p w:rsidR="00BE7972" w:rsidRPr="00BE7972" w:rsidRDefault="00464944" w:rsidP="00464944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31B3E">
        <w:rPr>
          <w:rFonts w:ascii="Times New Roman" w:hAnsi="Times New Roman" w:cs="Times New Roman"/>
          <w:sz w:val="24"/>
          <w:szCs w:val="24"/>
        </w:rPr>
        <w:t xml:space="preserve">Ou seja, </w:t>
      </w:r>
      <w:r w:rsidRPr="00B12018">
        <w:rPr>
          <w:rFonts w:ascii="Times New Roman" w:hAnsi="Times New Roman" w:cs="Times New Roman"/>
          <w:sz w:val="24"/>
          <w:szCs w:val="24"/>
          <w:u w:val="single"/>
        </w:rPr>
        <w:t>a garantia de manutenção da proposta é cláusula expressa no Edital</w:t>
      </w:r>
      <w:r w:rsidRPr="00831B3E">
        <w:rPr>
          <w:rFonts w:ascii="Times New Roman" w:hAnsi="Times New Roman" w:cs="Times New Roman"/>
          <w:sz w:val="24"/>
          <w:szCs w:val="24"/>
        </w:rPr>
        <w:t>, deve não podendo se afastar a Comissão Permanente de Licitação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972" w:rsidRDefault="00464944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Até porque </w:t>
      </w:r>
      <w:r w:rsid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0D526C" w:rsidRP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D526C" w:rsidRPr="000D52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princípio da vinculação</w:t>
      </w:r>
      <w:r w:rsidR="000D526C" w:rsidRP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> ao instrumento convocatório é corolário do </w:t>
      </w:r>
      <w:r w:rsidR="000D526C" w:rsidRPr="000D52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princípio</w:t>
      </w:r>
      <w:r w:rsidR="000D526C" w:rsidRP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da legalidade e da objetividade das determinações </w:t>
      </w:r>
      <w:proofErr w:type="spellStart"/>
      <w:r w:rsidR="000D526C" w:rsidRP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>habilitatórias</w:t>
      </w:r>
      <w:proofErr w:type="spellEnd"/>
      <w:r w:rsidR="000D526C" w:rsidRP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>Que i</w:t>
      </w:r>
      <w:r w:rsidR="000D526C" w:rsidRP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>mpõe à Administração e ao licitante a observância das normas estabelecidas no </w:t>
      </w:r>
      <w:r w:rsidR="000D526C" w:rsidRPr="00831B3E">
        <w:rPr>
          <w:rFonts w:ascii="Times New Roman" w:hAnsi="Times New Roman" w:cs="Times New Roman"/>
          <w:sz w:val="24"/>
          <w:szCs w:val="24"/>
          <w:shd w:val="clear" w:color="auto" w:fill="FFFFFF"/>
        </w:rPr>
        <w:t>Edital</w:t>
      </w:r>
      <w:r w:rsidR="000D526C" w:rsidRP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> de forma objetiva, mas sempre velando pelo </w:t>
      </w:r>
      <w:r w:rsidR="000D526C" w:rsidRPr="00831B3E">
        <w:rPr>
          <w:rFonts w:ascii="Times New Roman" w:hAnsi="Times New Roman" w:cs="Times New Roman"/>
          <w:sz w:val="24"/>
          <w:szCs w:val="24"/>
          <w:shd w:val="clear" w:color="auto" w:fill="FFFFFF"/>
        </w:rPr>
        <w:t>princípio</w:t>
      </w:r>
      <w:r w:rsidR="000D526C" w:rsidRP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> da competitividade</w:t>
      </w:r>
      <w:r w:rsidR="000D52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1B3E" w:rsidRDefault="00831B3E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B3E">
        <w:rPr>
          <w:rFonts w:ascii="Times New Roman" w:hAnsi="Times New Roman" w:cs="Times New Roman"/>
          <w:sz w:val="24"/>
          <w:szCs w:val="24"/>
          <w:shd w:val="clear" w:color="auto" w:fill="FFFFFF"/>
        </w:rPr>
        <w:t>Pois o princípio da vinculação ao instrumento convocatório está disciplinado nos artigos </w:t>
      </w:r>
      <w:hyperlink r:id="rId5" w:tooltip="Artigo 3 da Lei nº 8.666 de 21 de Junho de 1993" w:history="1">
        <w:r w:rsidRPr="00831B3E">
          <w:rPr>
            <w:rFonts w:ascii="Times New Roman" w:hAnsi="Times New Roman" w:cs="Times New Roman"/>
            <w:sz w:val="24"/>
            <w:szCs w:val="24"/>
          </w:rPr>
          <w:t>3º</w:t>
        </w:r>
      </w:hyperlink>
      <w:r w:rsidRPr="00831B3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Artigo 41 da Lei nº 8.666 de 21 de Junho de 1993" w:history="1">
        <w:r w:rsidRPr="00831B3E">
          <w:rPr>
            <w:rFonts w:ascii="Times New Roman" w:hAnsi="Times New Roman" w:cs="Times New Roman"/>
            <w:sz w:val="24"/>
            <w:szCs w:val="24"/>
          </w:rPr>
          <w:t>41</w:t>
        </w:r>
      </w:hyperlink>
      <w:r w:rsidRPr="00831B3E">
        <w:rPr>
          <w:rFonts w:ascii="Times New Roman" w:hAnsi="Times New Roman" w:cs="Times New Roman"/>
          <w:sz w:val="24"/>
          <w:szCs w:val="24"/>
          <w:shd w:val="clear" w:color="auto" w:fill="FFFFFF"/>
        </w:rPr>
        <w:t> e </w:t>
      </w:r>
      <w:hyperlink r:id="rId7" w:tooltip="Artigo 55 da Lei nº 8.666 de 21 de Junho de 1993" w:history="1">
        <w:r w:rsidRPr="00831B3E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831B3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Inciso XI do Artigo 55 da Lei nº 8.666 de 21 de Junho de 1993" w:history="1">
        <w:r w:rsidRPr="00831B3E">
          <w:rPr>
            <w:rFonts w:ascii="Times New Roman" w:hAnsi="Times New Roman" w:cs="Times New Roman"/>
            <w:sz w:val="24"/>
            <w:szCs w:val="24"/>
          </w:rPr>
          <w:t>XI</w:t>
        </w:r>
      </w:hyperlink>
      <w:r w:rsidRPr="00831B3E">
        <w:rPr>
          <w:rFonts w:ascii="Times New Roman" w:hAnsi="Times New Roman" w:cs="Times New Roman"/>
          <w:sz w:val="24"/>
          <w:szCs w:val="24"/>
          <w:shd w:val="clear" w:color="auto" w:fill="FFFFFF"/>
        </w:rPr>
        <w:t>, da Lei nº </w:t>
      </w:r>
      <w:hyperlink r:id="rId9" w:tooltip="Lei nº 8.666, de 21 de junho de 1993" w:history="1">
        <w:r w:rsidRPr="00831B3E">
          <w:rPr>
            <w:rFonts w:ascii="Times New Roman" w:hAnsi="Times New Roman" w:cs="Times New Roman"/>
            <w:sz w:val="24"/>
            <w:szCs w:val="24"/>
          </w:rPr>
          <w:t>8.666</w:t>
        </w:r>
      </w:hyperlink>
      <w:r w:rsidRPr="00831B3E">
        <w:rPr>
          <w:rFonts w:ascii="Times New Roman" w:hAnsi="Times New Roman" w:cs="Times New Roman"/>
          <w:sz w:val="24"/>
          <w:szCs w:val="24"/>
          <w:shd w:val="clear" w:color="auto" w:fill="FFFFFF"/>
        </w:rPr>
        <w:t>/1993, que rege o procedimento licitatório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0A36" w:rsidRDefault="00400A36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 mencionados artigos consta:</w:t>
      </w:r>
    </w:p>
    <w:p w:rsidR="00400A36" w:rsidRPr="00400A36" w:rsidRDefault="00400A36" w:rsidP="00400A3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pacing w:val="2"/>
          <w:lang w:eastAsia="pt-BR"/>
        </w:rPr>
      </w:pPr>
      <w:r w:rsidRPr="00400A36">
        <w:rPr>
          <w:rFonts w:ascii="Times New Roman" w:eastAsia="Times New Roman" w:hAnsi="Times New Roman" w:cs="Times New Roman"/>
          <w:i/>
          <w:iCs/>
          <w:spacing w:val="2"/>
          <w:lang w:eastAsia="pt-BR"/>
        </w:rPr>
        <w:t>“Art. 3º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</w:t>
      </w:r>
    </w:p>
    <w:p w:rsidR="00400A36" w:rsidRPr="00400A36" w:rsidRDefault="00400A36" w:rsidP="00400A3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pacing w:val="2"/>
          <w:lang w:eastAsia="pt-BR"/>
        </w:rPr>
      </w:pPr>
      <w:r w:rsidRPr="00400A36">
        <w:rPr>
          <w:rFonts w:ascii="Times New Roman" w:eastAsia="Times New Roman" w:hAnsi="Times New Roman" w:cs="Times New Roman"/>
          <w:i/>
          <w:iCs/>
          <w:spacing w:val="2"/>
          <w:lang w:eastAsia="pt-BR"/>
        </w:rPr>
        <w:t>Art. 41. A Administração não pode descumprir as normas e condições do edital, ao qual se acha estritamente vinculada.</w:t>
      </w:r>
    </w:p>
    <w:p w:rsidR="00400A36" w:rsidRPr="00400A36" w:rsidRDefault="00400A36" w:rsidP="00400A3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pacing w:val="2"/>
          <w:lang w:eastAsia="pt-BR"/>
        </w:rPr>
      </w:pPr>
      <w:r w:rsidRPr="00400A36">
        <w:rPr>
          <w:rFonts w:ascii="Times New Roman" w:eastAsia="Times New Roman" w:hAnsi="Times New Roman" w:cs="Times New Roman"/>
          <w:i/>
          <w:iCs/>
          <w:spacing w:val="2"/>
          <w:lang w:eastAsia="pt-BR"/>
        </w:rPr>
        <w:t>Art. 55. São cláusulas necessárias em todo contrato as que estabeleçam:</w:t>
      </w:r>
    </w:p>
    <w:p w:rsidR="00400A36" w:rsidRPr="00400A36" w:rsidRDefault="00400A36" w:rsidP="00400A3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pacing w:val="2"/>
          <w:lang w:eastAsia="pt-BR"/>
        </w:rPr>
      </w:pPr>
      <w:r w:rsidRPr="00400A36">
        <w:rPr>
          <w:rFonts w:ascii="Times New Roman" w:eastAsia="Times New Roman" w:hAnsi="Times New Roman" w:cs="Times New Roman"/>
          <w:i/>
          <w:iCs/>
          <w:spacing w:val="2"/>
          <w:lang w:eastAsia="pt-BR"/>
        </w:rPr>
        <w:t>[...]</w:t>
      </w:r>
    </w:p>
    <w:p w:rsidR="00400A36" w:rsidRPr="00400A36" w:rsidRDefault="00400A36" w:rsidP="00400A3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pacing w:val="2"/>
          <w:lang w:eastAsia="pt-BR"/>
        </w:rPr>
      </w:pPr>
      <w:r w:rsidRPr="00400A36">
        <w:rPr>
          <w:rFonts w:ascii="Times New Roman" w:eastAsia="Times New Roman" w:hAnsi="Times New Roman" w:cs="Times New Roman"/>
          <w:i/>
          <w:iCs/>
          <w:spacing w:val="2"/>
          <w:lang w:eastAsia="pt-BR"/>
        </w:rPr>
        <w:t xml:space="preserve">XI - a vinculação ao edital de licitação ou ao termo que a dispensou ou a </w:t>
      </w:r>
      <w:proofErr w:type="spellStart"/>
      <w:r w:rsidRPr="00400A36">
        <w:rPr>
          <w:rFonts w:ascii="Times New Roman" w:eastAsia="Times New Roman" w:hAnsi="Times New Roman" w:cs="Times New Roman"/>
          <w:i/>
          <w:iCs/>
          <w:spacing w:val="2"/>
          <w:lang w:eastAsia="pt-BR"/>
        </w:rPr>
        <w:t>inexigiu</w:t>
      </w:r>
      <w:proofErr w:type="spellEnd"/>
      <w:r w:rsidRPr="00400A36">
        <w:rPr>
          <w:rFonts w:ascii="Times New Roman" w:eastAsia="Times New Roman" w:hAnsi="Times New Roman" w:cs="Times New Roman"/>
          <w:i/>
          <w:iCs/>
          <w:spacing w:val="2"/>
          <w:lang w:eastAsia="pt-BR"/>
        </w:rPr>
        <w:t xml:space="preserve">, ao convite e à proposta do licitante </w:t>
      </w:r>
      <w:r w:rsidR="004300AC" w:rsidRPr="00400A36">
        <w:rPr>
          <w:rFonts w:ascii="Times New Roman" w:eastAsia="Times New Roman" w:hAnsi="Times New Roman" w:cs="Times New Roman"/>
          <w:i/>
          <w:iCs/>
          <w:spacing w:val="2"/>
          <w:lang w:eastAsia="pt-BR"/>
        </w:rPr>
        <w:t>vencedor</w:t>
      </w:r>
      <w:r w:rsidR="004300AC" w:rsidRPr="00400A36">
        <w:rPr>
          <w:rFonts w:ascii="Times New Roman" w:eastAsia="Times New Roman" w:hAnsi="Times New Roman" w:cs="Times New Roman"/>
          <w:spacing w:val="2"/>
          <w:lang w:eastAsia="pt-BR"/>
        </w:rPr>
        <w:t xml:space="preserve"> ”</w:t>
      </w:r>
      <w:r w:rsidRPr="00400A36">
        <w:rPr>
          <w:rFonts w:ascii="Times New Roman" w:eastAsia="Times New Roman" w:hAnsi="Times New Roman" w:cs="Times New Roman"/>
          <w:spacing w:val="2"/>
          <w:lang w:eastAsia="pt-BR"/>
        </w:rPr>
        <w:t>.</w:t>
      </w:r>
    </w:p>
    <w:p w:rsidR="00400A36" w:rsidRDefault="00400A36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E22" w:rsidRDefault="00CC2E22" w:rsidP="00A8410A">
      <w:pPr>
        <w:spacing w:line="360" w:lineRule="auto"/>
        <w:ind w:firstLine="2268"/>
        <w:jc w:val="both"/>
        <w:rPr>
          <w:rFonts w:ascii="Times New Roman" w:hAnsi="Times New Roman" w:cs="Times New Roman"/>
        </w:rPr>
      </w:pPr>
      <w:r w:rsidRPr="00CC2E22">
        <w:rPr>
          <w:rFonts w:ascii="Times New Roman" w:hAnsi="Times New Roman" w:cs="Times New Roman"/>
          <w:sz w:val="24"/>
          <w:szCs w:val="24"/>
          <w:shd w:val="clear" w:color="auto" w:fill="FFFFFF"/>
        </w:rPr>
        <w:t>A vinculação ao instrumento convocatório deve assegurar aos licitantes os seus direitos. Nesse sentido, cabe relembrar a seguinte redação do art. 41 da Lei no 8.666/1993: “</w:t>
      </w:r>
      <w:r w:rsidRPr="004300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Administração não pode descumprir as normas e condições do edital, ao qual se acha estritamente vinculada</w:t>
      </w:r>
      <w:r w:rsidRPr="00CC2E22">
        <w:rPr>
          <w:rFonts w:ascii="Times New Roman" w:hAnsi="Times New Roman" w:cs="Times New Roman"/>
          <w:sz w:val="24"/>
          <w:szCs w:val="24"/>
          <w:shd w:val="clear" w:color="auto" w:fill="FFFFFF"/>
        </w:rPr>
        <w:t>”. Esse dispositivo é tão restritivo que se utilizou da expressão “estritamente vinculada”. Logo, não há espaços para arbitrariedades ou escolhas de licitantes por regras não estabelecidas no edital. No mesmo sentido, a Administração deve buscar a proposta mais vantajosa dentro das regras do edital e sem julgamentos subjetivos.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(Disponível em 27/05/2020 em </w:t>
      </w:r>
      <w:hyperlink r:id="rId10" w:history="1">
        <w:r w:rsidRPr="00CC2E22">
          <w:rPr>
            <w:rStyle w:val="Hyperlink"/>
            <w:rFonts w:ascii="Times New Roman" w:hAnsi="Times New Roman" w:cs="Times New Roman"/>
            <w:color w:val="auto"/>
          </w:rPr>
          <w:t>https://www.portaldecompraspublicas.com.br/18/Noticias/VinculacaoAoInstrumentoConvocatorioEmLicitacoes_372/</w:t>
        </w:r>
      </w:hyperlink>
      <w:r w:rsidRPr="00CC2E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C2E22" w:rsidRDefault="00CC2E22" w:rsidP="00A8410A">
      <w:pPr>
        <w:spacing w:line="360" w:lineRule="auto"/>
        <w:ind w:firstLine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verdade, a vinculação representa importante garantia para a sociedade de que não haverá favorecimento ou direcionamento nas compras feitas pela Administração Pública.</w:t>
      </w:r>
    </w:p>
    <w:p w:rsidR="00CC2E22" w:rsidRDefault="004300AC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entanto, a </w:t>
      </w:r>
      <w:r w:rsidR="00A2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empresa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Base-V Engenharia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Ltda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inconformada com sua desclassificação do certame em decorrência da falta de garantia da proposta, conforme item 08 do Edital, apresentou Recurso Administrativo endereçado ao Prefeito Municipal, </w:t>
      </w:r>
      <w:r w:rsidR="00925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aduzindo que </w:t>
      </w:r>
      <w:r w:rsidR="00404719">
        <w:rPr>
          <w:rFonts w:ascii="Times New Roman" w:hAnsi="Times New Roman" w:cs="Times New Roman"/>
          <w:sz w:val="24"/>
          <w:szCs w:val="24"/>
          <w:shd w:val="clear" w:color="auto" w:fill="FFFFFF"/>
        </w:rPr>
        <w:t>o motivo da desclassificação é exigência excessiva, posto que na regra a garantia é prestada após o julgamento do certame.</w:t>
      </w:r>
      <w:r w:rsidR="00C1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Socorrendo-se ao disposto no art. 48, §3º da Lei de Licitações, o qual prevê a possibilidade </w:t>
      </w:r>
      <w:proofErr w:type="gramStart"/>
      <w:r w:rsidR="00C12543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gramEnd"/>
      <w:r w:rsidR="00C1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Administração conceder o prazo de 08 dias para apresentação de novos documentos.</w:t>
      </w:r>
    </w:p>
    <w:p w:rsidR="00A20BEF" w:rsidRDefault="00A20BEF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Porém, os argumentos esposados </w:t>
      </w:r>
      <w:r w:rsid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pela Recorrente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devem ser refutados, eis que não se trata aqui de mera finalidade de obter entrega </w:t>
      </w:r>
      <w:r w:rsidR="0059125B">
        <w:rPr>
          <w:rFonts w:ascii="Times New Roman" w:hAnsi="Times New Roman" w:cs="Times New Roman"/>
          <w:sz w:val="24"/>
          <w:szCs w:val="24"/>
          <w:shd w:val="clear" w:color="auto" w:fill="FFFFFF"/>
        </w:rPr>
        <w:t>de documentos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pelos interessados, mas permitir segurança a Administração Pública, </w:t>
      </w:r>
      <w:r w:rsidR="0059125B">
        <w:rPr>
          <w:rFonts w:ascii="Times New Roman" w:hAnsi="Times New Roman" w:cs="Times New Roman"/>
          <w:sz w:val="24"/>
          <w:szCs w:val="24"/>
          <w:shd w:val="clear" w:color="auto" w:fill="FFFFFF"/>
        </w:rPr>
        <w:t>de que efetivamente haverá manutenção da proposta ofertada através da respectiva garantia.</w:t>
      </w:r>
    </w:p>
    <w:p w:rsidR="0059125B" w:rsidRPr="00B12018" w:rsidRDefault="00C91916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Ademais, a alegação de que na mesma data da abertura dos envelopes enviou via </w:t>
      </w:r>
      <w:proofErr w:type="spellStart"/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spellEnd"/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apólice digital necessária a atender </w:t>
      </w:r>
      <w:proofErr w:type="spellStart"/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exigência </w:t>
      </w:r>
      <w:proofErr w:type="spellStart"/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>editalícia</w:t>
      </w:r>
      <w:proofErr w:type="spellEnd"/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é demonstrativo de </w:t>
      </w:r>
      <w:r w:rsidR="00B12018"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>que a própria R</w:t>
      </w:r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>ecorrente admite o descumprimento das condições do Edital. Pois devia apresentar a garantia</w:t>
      </w:r>
      <w:r w:rsidR="000973CB"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r w:rsidR="000973CB" w:rsidRPr="00B12018">
        <w:rPr>
          <w:rFonts w:ascii="Times New Roman" w:hAnsi="Times New Roman" w:cs="Times New Roman"/>
          <w:sz w:val="24"/>
          <w:szCs w:val="24"/>
        </w:rPr>
        <w:t>participar da licitação.</w:t>
      </w:r>
      <w:r w:rsidR="00B12018" w:rsidRPr="00B12018">
        <w:rPr>
          <w:rFonts w:ascii="Times New Roman" w:hAnsi="Times New Roman" w:cs="Times New Roman"/>
          <w:sz w:val="24"/>
          <w:szCs w:val="24"/>
        </w:rPr>
        <w:t xml:space="preserve"> </w:t>
      </w:r>
      <w:r w:rsidR="00B12018">
        <w:rPr>
          <w:rFonts w:ascii="Times New Roman" w:hAnsi="Times New Roman" w:cs="Times New Roman"/>
          <w:sz w:val="24"/>
          <w:szCs w:val="24"/>
        </w:rPr>
        <w:t xml:space="preserve">Condição </w:t>
      </w:r>
      <w:proofErr w:type="spellStart"/>
      <w:r w:rsidR="00B12018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B1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18">
        <w:rPr>
          <w:rFonts w:ascii="Times New Roman" w:hAnsi="Times New Roman" w:cs="Times New Roman"/>
          <w:i/>
          <w:sz w:val="24"/>
          <w:szCs w:val="24"/>
        </w:rPr>
        <w:t>sine</w:t>
      </w:r>
      <w:proofErr w:type="spellEnd"/>
      <w:r w:rsidR="00B12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018">
        <w:rPr>
          <w:rFonts w:ascii="Times New Roman" w:hAnsi="Times New Roman" w:cs="Times New Roman"/>
          <w:i/>
          <w:sz w:val="24"/>
          <w:szCs w:val="24"/>
        </w:rPr>
        <w:t>qua</w:t>
      </w:r>
      <w:proofErr w:type="spellEnd"/>
      <w:r w:rsidR="00B12018">
        <w:rPr>
          <w:rFonts w:ascii="Times New Roman" w:hAnsi="Times New Roman" w:cs="Times New Roman"/>
          <w:i/>
          <w:sz w:val="24"/>
          <w:szCs w:val="24"/>
        </w:rPr>
        <w:t xml:space="preserve"> non.</w:t>
      </w:r>
    </w:p>
    <w:p w:rsidR="00E50AD8" w:rsidRPr="00B12018" w:rsidRDefault="00747C4B" w:rsidP="00747C4B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>Desse modo, ente</w:t>
      </w:r>
      <w:r w:rsid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nde-se que não assiste razão </w:t>
      </w:r>
      <w:proofErr w:type="gramStart"/>
      <w:r w:rsid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>a R</w:t>
      </w:r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>ecorrente</w:t>
      </w:r>
      <w:proofErr w:type="gramEnd"/>
      <w:r w:rsidRP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pretender o recebimento do Recurso para o fim de considerar a mesma habilitada no certame.</w:t>
      </w:r>
      <w:r w:rsidR="00B1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E5BE3" w:rsidRDefault="009A4252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 o parecer, salvo melhor juízo.</w:t>
      </w:r>
    </w:p>
    <w:p w:rsidR="009A4252" w:rsidRDefault="009A4252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252" w:rsidRDefault="009A4252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Abdon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Batista, </w:t>
      </w:r>
      <w:r w:rsidR="00747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maio de 2020.</w:t>
      </w:r>
    </w:p>
    <w:p w:rsidR="009A4252" w:rsidRDefault="009A4252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252" w:rsidRDefault="009A4252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Zelí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Terezinha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Dariva</w:t>
      </w:r>
      <w:bookmarkStart w:id="1" w:name="_GoBack"/>
      <w:bookmarkEnd w:id="1"/>
      <w:proofErr w:type="spellEnd"/>
    </w:p>
    <w:p w:rsidR="009A4252" w:rsidRPr="000E5BE3" w:rsidRDefault="009A4252" w:rsidP="00A8410A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OAB/SC nº 9.869</w:t>
      </w:r>
    </w:p>
    <w:sectPr w:rsidR="009A4252" w:rsidRPr="000E5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E9"/>
    <w:rsid w:val="000973CB"/>
    <w:rsid w:val="000D526C"/>
    <w:rsid w:val="000E5BE3"/>
    <w:rsid w:val="001E71AA"/>
    <w:rsid w:val="0025081C"/>
    <w:rsid w:val="002C61DD"/>
    <w:rsid w:val="002D3E61"/>
    <w:rsid w:val="00355567"/>
    <w:rsid w:val="003E6DE3"/>
    <w:rsid w:val="003F15C0"/>
    <w:rsid w:val="00400A36"/>
    <w:rsid w:val="00404719"/>
    <w:rsid w:val="0042444A"/>
    <w:rsid w:val="004300AC"/>
    <w:rsid w:val="00464944"/>
    <w:rsid w:val="0059125B"/>
    <w:rsid w:val="00604047"/>
    <w:rsid w:val="006D2384"/>
    <w:rsid w:val="00735AA0"/>
    <w:rsid w:val="00747C4B"/>
    <w:rsid w:val="007850B7"/>
    <w:rsid w:val="007A37E9"/>
    <w:rsid w:val="00831B3E"/>
    <w:rsid w:val="008A1884"/>
    <w:rsid w:val="00917179"/>
    <w:rsid w:val="00925FCC"/>
    <w:rsid w:val="009A4252"/>
    <w:rsid w:val="009B5AF6"/>
    <w:rsid w:val="00A20BEF"/>
    <w:rsid w:val="00A8410A"/>
    <w:rsid w:val="00AA22FC"/>
    <w:rsid w:val="00B12018"/>
    <w:rsid w:val="00BE7972"/>
    <w:rsid w:val="00C12543"/>
    <w:rsid w:val="00C91916"/>
    <w:rsid w:val="00CC2E22"/>
    <w:rsid w:val="00D21E0F"/>
    <w:rsid w:val="00D51B49"/>
    <w:rsid w:val="00E50AD8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C287"/>
  <w15:chartTrackingRefBased/>
  <w15:docId w15:val="{A32C8B2C-E66B-4A47-9C4B-526C809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11302888/inciso-xi-do-artigo-55-da-lei-n-8666-de-21-de-junho-de-1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topicos/11303264/artigo-55-da-lei-n-8666-de-21-de-junho-de-1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sbrasil.com.br/topicos/11306164/artigo-41-da-lei-n-8666-de-21-de-junho-de-19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usbrasil.com.br/topicos/11319793/artigo-3-da-lei-n-8666-de-21-de-junho-de-1993" TargetMode="External"/><Relationship Id="rId10" Type="http://schemas.openxmlformats.org/officeDocument/2006/relationships/hyperlink" Target="https://www.portaldecompraspublicas.com.br/18/Noticias/VinculacaoAoInstrumentoConvocatorioEmLicitacoes_3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brasil.com.br/legislacao/1027021/lei-de-licita%C3%A7%C3%B5es-lei-8666-9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1E50-64B3-432C-BA3D-10D6165D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1334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</dc:creator>
  <cp:keywords/>
  <dc:description/>
  <cp:lastModifiedBy>Zeli</cp:lastModifiedBy>
  <cp:revision>4</cp:revision>
  <dcterms:created xsi:type="dcterms:W3CDTF">2020-05-28T16:19:00Z</dcterms:created>
  <dcterms:modified xsi:type="dcterms:W3CDTF">2020-05-28T16:26:00Z</dcterms:modified>
</cp:coreProperties>
</file>